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sts"/>
        <w:rPr/>
      </w:pPr>
      <w:r>
        <w:rPr>
          <w:rStyle w:val="Noklusjumarindkopasfonts"/>
          <w:sz w:val="24"/>
          <w:szCs w:val="24"/>
          <w:u w:val="single"/>
        </w:rPr>
        <w:t xml:space="preserve">Pārdevējs: Interneta veikals: </w:t>
      </w:r>
      <w:hyperlink r:id="rId2" w:tgtFrame="_top">
        <w:r>
          <w:rPr>
            <w:rStyle w:val="Hyperlink"/>
            <w:sz w:val="24"/>
            <w:szCs w:val="24"/>
            <w:u w:val="single"/>
          </w:rPr>
          <w:t>www.24a.lv</w:t>
        </w:r>
      </w:hyperlink>
    </w:p>
    <w:p>
      <w:pPr>
        <w:pStyle w:val="Parasts"/>
        <w:rPr>
          <w:sz w:val="24"/>
          <w:szCs w:val="24"/>
        </w:rPr>
      </w:pPr>
      <w:r>
        <w:rPr>
          <w:sz w:val="24"/>
          <w:szCs w:val="24"/>
        </w:rPr>
        <w:t xml:space="preserve">SIA Somarand,  reģ.nr. </w:t>
      </w:r>
      <w:bookmarkStart w:id="0" w:name="_Hlk133410181"/>
      <w:r>
        <w:rPr>
          <w:sz w:val="24"/>
          <w:szCs w:val="24"/>
        </w:rPr>
        <w:t>LV40203685446</w:t>
      </w:r>
    </w:p>
    <w:p>
      <w:pPr>
        <w:pStyle w:val="Parasts"/>
        <w:rPr>
          <w:sz w:val="24"/>
          <w:szCs w:val="24"/>
        </w:rPr>
      </w:pPr>
      <w:r>
        <w:rPr>
          <w:sz w:val="24"/>
          <w:szCs w:val="24"/>
        </w:rPr>
        <w:t>Juridiskā adrese: Rīga, Strenču iela 5, LV-1009</w:t>
      </w:r>
    </w:p>
    <w:p>
      <w:pPr>
        <w:pStyle w:val="Parasts"/>
        <w:rPr>
          <w:sz w:val="24"/>
          <w:szCs w:val="24"/>
        </w:rPr>
      </w:pPr>
      <w:bookmarkEnd w:id="0"/>
      <w:r>
        <w:rPr>
          <w:sz w:val="24"/>
          <w:szCs w:val="24"/>
        </w:rPr>
        <w:t xml:space="preserve">Telefons: </w:t>
      </w:r>
      <w:bookmarkStart w:id="1" w:name="_Hlk133410210"/>
      <w:r>
        <w:rPr>
          <w:sz w:val="24"/>
          <w:szCs w:val="24"/>
        </w:rPr>
        <w:t>+371-24888555</w:t>
      </w:r>
    </w:p>
    <w:p>
      <w:pPr>
        <w:pStyle w:val="Parasts"/>
        <w:rPr/>
      </w:pPr>
      <w:r>
        <w:rPr>
          <w:rStyle w:val="Noklusjumarindkopasfonts"/>
          <w:sz w:val="24"/>
          <w:szCs w:val="24"/>
        </w:rPr>
        <w:t xml:space="preserve">E-pasts: </w:t>
      </w:r>
      <w:hyperlink r:id="rId3" w:tgtFrame="_top">
        <w:r>
          <w:rPr>
            <w:rStyle w:val="Hyperlink"/>
            <w:sz w:val="24"/>
            <w:szCs w:val="24"/>
          </w:rPr>
          <w:t>info@24a.lv</w:t>
        </w:r>
      </w:hyperlink>
    </w:p>
    <w:p>
      <w:pPr>
        <w:pStyle w:val="Parasts"/>
        <w:jc w:val="center"/>
        <w:rPr>
          <w:b/>
          <w:bCs/>
          <w:sz w:val="24"/>
          <w:szCs w:val="24"/>
        </w:rPr>
      </w:pPr>
      <w:bookmarkEnd w:id="1"/>
      <w:r>
        <w:rPr>
          <w:b/>
          <w:bCs/>
          <w:sz w:val="24"/>
          <w:szCs w:val="24"/>
        </w:rPr>
        <w:t>ATTEIKUMA VEIDLAPA</w:t>
      </w:r>
    </w:p>
    <w:p>
      <w:pPr>
        <w:pStyle w:val="Paraststmeklis"/>
        <w:ind w:end="-705"/>
        <w:jc w:val="both"/>
        <w:rPr>
          <w:lang w:val="lv-LV"/>
        </w:rPr>
      </w:pPr>
      <w:r>
        <w:rPr>
          <w:lang w:val="lv-LV"/>
        </w:rPr>
        <w:t>Izpildiet un nosūtiet šo veidlapu tikai tad, ja vēlaties atteikties no līguma, saskaņā ar kuru Jums tika piegādāta pasūtītā prece. Atteikšanās gadījumā Jums ir pienākums atgriezt saņemto preci pilnā komplektācijā.</w:t>
      </w:r>
    </w:p>
    <w:p>
      <w:pPr>
        <w:pStyle w:val="Paraststmeklis"/>
        <w:ind w:end="-705"/>
        <w:jc w:val="both"/>
        <w:rPr>
          <w:lang w:val="lv-LV"/>
        </w:rPr>
      </w:pPr>
      <w:r>
        <w:rPr>
          <w:lang w:val="lv-LV"/>
        </w:rPr>
        <w:t xml:space="preserve">Ar šo paziņoju, ka vēlos atteikties no līguma, ko esmu, kā Pircējs noslēdzis ar Pārdevēju par šādu preču iegādi: </w:t>
      </w:r>
    </w:p>
    <w:tbl>
      <w:tblPr>
        <w:tblW w:w="10060" w:type="dxa"/>
        <w:jc w:val="start"/>
        <w:tblInd w:w="-5" w:type="dxa"/>
        <w:tblLayout w:type="fixed"/>
        <w:tblCellMar>
          <w:top w:w="0" w:type="dxa"/>
          <w:start w:w="108" w:type="dxa"/>
          <w:bottom w:w="0" w:type="dxa"/>
          <w:end w:w="108" w:type="dxa"/>
        </w:tblCellMar>
      </w:tblPr>
      <w:tblGrid>
        <w:gridCol w:w="704"/>
        <w:gridCol w:w="3827"/>
        <w:gridCol w:w="2835"/>
        <w:gridCol w:w="2694"/>
      </w:tblGrid>
      <w:tr>
        <w:trPr/>
        <w:tc>
          <w:tcPr>
            <w:tcW w:w="70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b/>
                <w:bCs/>
                <w:lang w:val="lv-LV"/>
              </w:rPr>
            </w:pPr>
            <w:r>
              <w:rPr>
                <w:b/>
                <w:bCs/>
                <w:lang w:val="lv-LV"/>
              </w:rPr>
              <w:t>Nr.</w:t>
            </w:r>
          </w:p>
        </w:tc>
        <w:tc>
          <w:tcPr>
            <w:tcW w:w="3827"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b/>
                <w:bCs/>
                <w:lang w:val="lv-LV"/>
              </w:rPr>
            </w:pPr>
            <w:r>
              <w:rPr>
                <w:b/>
                <w:bCs/>
                <w:lang w:val="lv-LV"/>
              </w:rPr>
              <w:t>Prece un pasūtījuma numurs</w:t>
            </w:r>
          </w:p>
        </w:tc>
        <w:tc>
          <w:tcPr>
            <w:tcW w:w="2835"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b/>
                <w:bCs/>
                <w:lang w:val="lv-LV"/>
              </w:rPr>
            </w:pPr>
            <w:r>
              <w:rPr>
                <w:b/>
                <w:bCs/>
                <w:lang w:val="lv-LV"/>
              </w:rPr>
              <w:t>Saņemšanas datums</w:t>
            </w:r>
          </w:p>
        </w:tc>
        <w:tc>
          <w:tcPr>
            <w:tcW w:w="269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b/>
                <w:bCs/>
                <w:lang w:val="lv-LV"/>
              </w:rPr>
            </w:pPr>
            <w:r>
              <w:rPr>
                <w:b/>
                <w:bCs/>
                <w:lang w:val="lv-LV"/>
              </w:rPr>
              <w:t>Skaits</w:t>
            </w:r>
          </w:p>
        </w:tc>
      </w:tr>
      <w:tr>
        <w:trPr/>
        <w:tc>
          <w:tcPr>
            <w:tcW w:w="70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p>
            <w:pPr>
              <w:pStyle w:val="Paraststmeklis"/>
              <w:spacing w:before="100" w:after="100"/>
              <w:rPr>
                <w:lang w:val="lv-LV"/>
              </w:rPr>
            </w:pPr>
            <w:r>
              <w:rPr>
                <w:lang w:val="lv-LV"/>
              </w:rPr>
            </w:r>
          </w:p>
        </w:tc>
        <w:tc>
          <w:tcPr>
            <w:tcW w:w="3827"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c>
          <w:tcPr>
            <w:tcW w:w="2835"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c>
          <w:tcPr>
            <w:tcW w:w="269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r>
      <w:tr>
        <w:trPr/>
        <w:tc>
          <w:tcPr>
            <w:tcW w:w="70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p>
            <w:pPr>
              <w:pStyle w:val="Paraststmeklis"/>
              <w:spacing w:before="100" w:after="100"/>
              <w:rPr>
                <w:lang w:val="lv-LV"/>
              </w:rPr>
            </w:pPr>
            <w:r>
              <w:rPr>
                <w:lang w:val="lv-LV"/>
              </w:rPr>
            </w:r>
          </w:p>
        </w:tc>
        <w:tc>
          <w:tcPr>
            <w:tcW w:w="3827"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c>
          <w:tcPr>
            <w:tcW w:w="2835"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c>
          <w:tcPr>
            <w:tcW w:w="269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r>
      <w:tr>
        <w:trPr/>
        <w:tc>
          <w:tcPr>
            <w:tcW w:w="70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p>
            <w:pPr>
              <w:pStyle w:val="Paraststmeklis"/>
              <w:spacing w:before="100" w:after="100"/>
              <w:rPr>
                <w:lang w:val="lv-LV"/>
              </w:rPr>
            </w:pPr>
            <w:r>
              <w:rPr>
                <w:lang w:val="lv-LV"/>
              </w:rPr>
            </w:r>
          </w:p>
        </w:tc>
        <w:tc>
          <w:tcPr>
            <w:tcW w:w="3827"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c>
          <w:tcPr>
            <w:tcW w:w="2835"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c>
          <w:tcPr>
            <w:tcW w:w="269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r>
    </w:tbl>
    <w:p>
      <w:pPr>
        <w:pStyle w:val="Paraststmeklis"/>
        <w:rPr>
          <w:sz w:val="6"/>
          <w:szCs w:val="6"/>
          <w:lang w:val="lv-LV"/>
        </w:rPr>
      </w:pPr>
      <w:r>
        <w:rPr>
          <w:sz w:val="6"/>
          <w:szCs w:val="6"/>
          <w:lang w:val="lv-LV"/>
        </w:rPr>
      </w:r>
    </w:p>
    <w:tbl>
      <w:tblPr>
        <w:tblW w:w="6232" w:type="dxa"/>
        <w:jc w:val="start"/>
        <w:tblInd w:w="-5" w:type="dxa"/>
        <w:tblLayout w:type="fixed"/>
        <w:tblCellMar>
          <w:top w:w="0" w:type="dxa"/>
          <w:start w:w="108" w:type="dxa"/>
          <w:bottom w:w="0" w:type="dxa"/>
          <w:end w:w="108" w:type="dxa"/>
        </w:tblCellMar>
      </w:tblPr>
      <w:tblGrid>
        <w:gridCol w:w="3114"/>
        <w:gridCol w:w="3118"/>
      </w:tblGrid>
      <w:tr>
        <w:trPr/>
        <w:tc>
          <w:tcPr>
            <w:tcW w:w="3114" w:type="dxa"/>
            <w:tcBorders>
              <w:top w:val="single" w:sz="4" w:space="0" w:color="000000"/>
              <w:start w:val="single" w:sz="4" w:space="0" w:color="000000"/>
              <w:bottom w:val="single" w:sz="4" w:space="0" w:color="000000"/>
              <w:end w:val="single" w:sz="4" w:space="0" w:color="000000"/>
            </w:tcBorders>
          </w:tcPr>
          <w:p>
            <w:pPr>
              <w:pStyle w:val="Paraststmeklis"/>
              <w:spacing w:before="100" w:after="100"/>
              <w:jc w:val="both"/>
              <w:rPr>
                <w:b/>
                <w:bCs/>
                <w:lang w:val="lv-LV"/>
              </w:rPr>
            </w:pPr>
            <w:r>
              <w:rPr>
                <w:b/>
                <w:bCs/>
                <w:lang w:val="lv-LV"/>
              </w:rPr>
              <w:t>Pircēja vārds (vārdi), uzvārds (uzvārdi)</w:t>
            </w:r>
          </w:p>
          <w:p>
            <w:pPr>
              <w:pStyle w:val="Paraststmeklis"/>
              <w:spacing w:before="100" w:after="100"/>
              <w:rPr>
                <w:b/>
                <w:bCs/>
                <w:lang w:val="lv-LV"/>
              </w:rPr>
            </w:pPr>
            <w:r>
              <w:rPr>
                <w:b/>
                <w:bCs/>
                <w:lang w:val="lv-LV"/>
              </w:rPr>
            </w:r>
          </w:p>
        </w:tc>
        <w:tc>
          <w:tcPr>
            <w:tcW w:w="3118"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p>
            <w:pPr>
              <w:pStyle w:val="Paraststmeklis"/>
              <w:spacing w:before="100" w:after="100"/>
              <w:rPr>
                <w:lang w:val="lv-LV"/>
              </w:rPr>
            </w:pPr>
            <w:r>
              <w:rPr>
                <w:lang w:val="lv-LV"/>
              </w:rPr>
            </w:r>
          </w:p>
        </w:tc>
      </w:tr>
      <w:tr>
        <w:trPr/>
        <w:tc>
          <w:tcPr>
            <w:tcW w:w="311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b/>
                <w:bCs/>
              </w:rPr>
            </w:pPr>
            <w:r>
              <w:rPr>
                <w:b/>
                <w:bCs/>
              </w:rPr>
              <w:t xml:space="preserve">Adrese: </w:t>
            </w:r>
          </w:p>
          <w:p>
            <w:pPr>
              <w:pStyle w:val="Paraststmeklis"/>
              <w:spacing w:before="100" w:after="100"/>
              <w:rPr>
                <w:b/>
                <w:bCs/>
                <w:lang w:val="lv-LV"/>
              </w:rPr>
            </w:pPr>
            <w:r>
              <w:rPr>
                <w:b/>
                <w:bCs/>
                <w:lang w:val="lv-LV"/>
              </w:rPr>
            </w:r>
          </w:p>
        </w:tc>
        <w:tc>
          <w:tcPr>
            <w:tcW w:w="3118"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p>
            <w:pPr>
              <w:pStyle w:val="Paraststmeklis"/>
              <w:spacing w:before="100" w:after="100"/>
              <w:rPr>
                <w:lang w:val="lv-LV"/>
              </w:rPr>
            </w:pPr>
            <w:r>
              <w:rPr>
                <w:lang w:val="lv-LV"/>
              </w:rPr>
            </w:r>
          </w:p>
        </w:tc>
      </w:tr>
      <w:tr>
        <w:trPr/>
        <w:tc>
          <w:tcPr>
            <w:tcW w:w="311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b/>
                <w:bCs/>
                <w:lang w:val="de-DE"/>
              </w:rPr>
            </w:pPr>
            <w:r>
              <w:rPr>
                <w:b/>
                <w:bCs/>
                <w:lang w:val="de-DE"/>
              </w:rPr>
              <w:t>Paraksts (ja aizpilda uz papīra)</w:t>
            </w:r>
          </w:p>
          <w:p>
            <w:pPr>
              <w:pStyle w:val="Paraststmeklis"/>
              <w:spacing w:before="100" w:after="100"/>
              <w:rPr>
                <w:b/>
                <w:bCs/>
                <w:lang w:val="de-DE"/>
              </w:rPr>
            </w:pPr>
            <w:r>
              <w:rPr>
                <w:b/>
                <w:bCs/>
                <w:lang w:val="de-DE"/>
              </w:rPr>
            </w:r>
          </w:p>
        </w:tc>
        <w:tc>
          <w:tcPr>
            <w:tcW w:w="3118"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r>
      <w:tr>
        <w:trPr/>
        <w:tc>
          <w:tcPr>
            <w:tcW w:w="3114"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b/>
                <w:bCs/>
              </w:rPr>
            </w:pPr>
            <w:r>
              <w:rPr>
                <w:b/>
                <w:bCs/>
              </w:rPr>
              <w:t>Paraksta datums</w:t>
            </w:r>
          </w:p>
          <w:p>
            <w:pPr>
              <w:pStyle w:val="Paraststmeklis"/>
              <w:spacing w:before="100" w:after="100"/>
              <w:rPr>
                <w:b/>
                <w:bCs/>
              </w:rPr>
            </w:pPr>
            <w:r>
              <w:rPr>
                <w:b/>
                <w:bCs/>
              </w:rPr>
            </w:r>
          </w:p>
        </w:tc>
        <w:tc>
          <w:tcPr>
            <w:tcW w:w="3118" w:type="dxa"/>
            <w:tcBorders>
              <w:top w:val="single" w:sz="4" w:space="0" w:color="000000"/>
              <w:start w:val="single" w:sz="4" w:space="0" w:color="000000"/>
              <w:bottom w:val="single" w:sz="4" w:space="0" w:color="000000"/>
              <w:end w:val="single" w:sz="4" w:space="0" w:color="000000"/>
            </w:tcBorders>
          </w:tcPr>
          <w:p>
            <w:pPr>
              <w:pStyle w:val="Paraststmeklis"/>
              <w:spacing w:before="100" w:after="100"/>
              <w:rPr>
                <w:lang w:val="lv-LV"/>
              </w:rPr>
            </w:pPr>
            <w:r>
              <w:rPr>
                <w:lang w:val="lv-LV"/>
              </w:rPr>
            </w:r>
          </w:p>
        </w:tc>
      </w:tr>
    </w:tbl>
    <w:p>
      <w:pPr>
        <w:pStyle w:val="Parasts"/>
        <w:jc w:val="both"/>
        <w:rPr>
          <w:sz w:val="24"/>
          <w:szCs w:val="24"/>
        </w:rPr>
      </w:pPr>
      <w:r>
        <w:rPr>
          <w:sz w:val="24"/>
          <w:szCs w:val="24"/>
        </w:rPr>
      </w:r>
    </w:p>
    <w:tbl>
      <w:tblPr>
        <w:tblW w:w="10201" w:type="dxa"/>
        <w:jc w:val="start"/>
        <w:tblInd w:w="-5" w:type="dxa"/>
        <w:tblLayout w:type="fixed"/>
        <w:tblCellMar>
          <w:top w:w="0" w:type="dxa"/>
          <w:start w:w="108" w:type="dxa"/>
          <w:bottom w:w="0" w:type="dxa"/>
          <w:end w:w="108" w:type="dxa"/>
        </w:tblCellMar>
      </w:tblPr>
      <w:tblGrid>
        <w:gridCol w:w="10201"/>
      </w:tblGrid>
      <w:tr>
        <w:trPr/>
        <w:tc>
          <w:tcPr>
            <w:tcW w:w="10201" w:type="dxa"/>
            <w:tcBorders>
              <w:top w:val="single" w:sz="4" w:space="0" w:color="000000"/>
              <w:start w:val="single" w:sz="4" w:space="0" w:color="000000"/>
              <w:bottom w:val="single" w:sz="4" w:space="0" w:color="000000"/>
              <w:end w:val="single" w:sz="4" w:space="0" w:color="000000"/>
            </w:tcBorders>
          </w:tcPr>
          <w:p>
            <w:pPr>
              <w:pStyle w:val="Parasts"/>
              <w:spacing w:lineRule="auto" w:line="240" w:before="0" w:after="0"/>
              <w:jc w:val="both"/>
              <w:rPr/>
            </w:pPr>
            <w:r>
              <w:rPr>
                <w:rStyle w:val="Noklusjumarindkopasfonts"/>
                <w:b/>
                <w:bCs/>
              </w:rPr>
              <w:t>Jūsu personas datu apstrādes pārzinis: SIA “</w:t>
            </w:r>
            <w:r>
              <w:rPr>
                <w:rStyle w:val="DefaultParagraphFont"/>
                <w:b/>
                <w:bCs/>
                <w:sz w:val="24"/>
                <w:szCs w:val="24"/>
              </w:rPr>
              <w:t>Somarand</w:t>
            </w:r>
            <w:r>
              <w:rPr>
                <w:rStyle w:val="Noklusjumarindkopasfonts"/>
                <w:b/>
                <w:bCs/>
              </w:rPr>
              <w:t xml:space="preserve">”, reģ.nr.40203685446, kontakti: Rīga, Strenču iela 19, LV-1009, Telefons: +371-24888555, E-pasts: </w:t>
            </w:r>
            <w:hyperlink r:id="rId4" w:tgtFrame="_top">
              <w:r>
                <w:rPr>
                  <w:rStyle w:val="Hyperlink"/>
                  <w:b/>
                  <w:bCs/>
                </w:rPr>
                <w:t>info@24a.lv</w:t>
              </w:r>
            </w:hyperlink>
            <w:r>
              <w:rPr>
                <w:rStyle w:val="Noklusjumarindkopasfonts"/>
                <w:b/>
                <w:bCs/>
              </w:rPr>
              <w:t>. Personas datu apstrādes mērķis: atteikuma tiesības pamatojuma izskatīšana un saziņa ar patērētāju, samaksātās pirkuma maksas un piegādes izdevumu atmaksas veikšana, saistīto strīdu izskatīšana. Papildu informācija par datu apstrādi: www.24a.lv/privatumapolitika/</w:t>
            </w:r>
          </w:p>
        </w:tc>
      </w:tr>
    </w:tbl>
    <w:p>
      <w:pPr>
        <w:pStyle w:val="Parasts"/>
        <w:rPr>
          <w:b/>
          <w:bCs/>
        </w:rPr>
      </w:pPr>
      <w:r>
        <w:rPr>
          <w:b/>
          <w:bCs/>
        </w:rPr>
      </w:r>
    </w:p>
    <w:p>
      <w:pPr>
        <w:pStyle w:val="Parasts"/>
        <w:jc w:val="center"/>
        <w:rPr>
          <w:b/>
          <w:bCs/>
        </w:rPr>
      </w:pPr>
      <w:r>
        <w:rPr>
          <w:b/>
          <w:bCs/>
        </w:rPr>
      </w:r>
    </w:p>
    <w:p>
      <w:pPr>
        <w:pStyle w:val="Parasts"/>
        <w:jc w:val="center"/>
        <w:rPr>
          <w:b/>
          <w:bCs/>
        </w:rPr>
      </w:pPr>
      <w:r>
        <w:rPr>
          <w:b/>
          <w:bCs/>
        </w:rPr>
      </w:r>
    </w:p>
    <w:p>
      <w:pPr>
        <w:pStyle w:val="Parasts"/>
        <w:ind w:end="-846"/>
        <w:jc w:val="center"/>
        <w:rPr/>
      </w:pPr>
      <w:r>
        <w:rPr>
          <w:rStyle w:val="Noklusjumarindkopasfonts"/>
          <w:b/>
          <w:bCs/>
        </w:rPr>
        <w:t>INFORMĀCIJA PAR ATTEIKUMA TIESĪBĀM UN TO IZMANTOŠANU</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 xml:space="preserve">Atteikuma tiesības izmantošanas kārtība attiecas tikai uz tādiem pirkuma darījumiem, kur interneta vietnē </w:t>
      </w:r>
      <w:hyperlink r:id="rId5" w:tgtFrame="_top">
        <w:r>
          <w:rPr>
            <w:rStyle w:val="Hyperlink"/>
            <w:rFonts w:cs="Calibri" w:ascii="Palatino Linotype" w:hAnsi="Palatino Linotype"/>
            <w:color w:val="0563C1"/>
            <w:kern w:val="0"/>
            <w:sz w:val="24"/>
            <w:szCs w:val="24"/>
            <w:u w:val="single"/>
          </w:rPr>
          <w:t>www.24A.lv</w:t>
        </w:r>
      </w:hyperlink>
      <w:r>
        <w:rPr>
          <w:rStyle w:val="Noklusjumarindkopasfonts"/>
          <w:rFonts w:cs="Calibri" w:ascii="Palatino Linotype" w:hAnsi="Palatino Linotype"/>
          <w:kern w:val="0"/>
          <w:sz w:val="24"/>
          <w:szCs w:val="24"/>
        </w:rPr>
        <w:t xml:space="preserve"> Mēbeles iegādājas fiziska persona (Pircējs). (</w:t>
      </w:r>
      <w:r>
        <w:rPr>
          <w:rStyle w:val="Noklusjumarindkopasfonts"/>
          <w:rFonts w:cs="Calibri" w:ascii="Palatino Linotype" w:hAnsi="Palatino Linotype"/>
          <w:i/>
          <w:iCs/>
          <w:kern w:val="0"/>
          <w:sz w:val="24"/>
          <w:szCs w:val="24"/>
        </w:rPr>
        <w:t>Atteikuma tiesības izmantošanas kārtība neietekmē preču atgriešanas nosacījumus garantijas iemeslu dēļ</w:t>
      </w:r>
      <w:r>
        <w:rPr>
          <w:rStyle w:val="Noklusjumarindkopasfonts"/>
          <w:rFonts w:cs="Calibri" w:ascii="Palatino Linotype" w:hAnsi="Palatino Linotype"/>
          <w:kern w:val="0"/>
          <w:sz w:val="24"/>
          <w:szCs w:val="24"/>
        </w:rPr>
        <w:t>).</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 xml:space="preserve">Pircējam ir tiesība ne vēlāk, kā 14 dienu laikā no interneta vietnē </w:t>
      </w:r>
      <w:hyperlink r:id="rId6" w:tgtFrame="_top">
        <w:r>
          <w:rPr>
            <w:rStyle w:val="Hyperlink"/>
            <w:rFonts w:cs="Calibri" w:ascii="Palatino Linotype" w:hAnsi="Palatino Linotype"/>
            <w:color w:val="0563C1"/>
            <w:kern w:val="0"/>
            <w:sz w:val="24"/>
            <w:szCs w:val="24"/>
            <w:u w:val="single"/>
          </w:rPr>
          <w:t>www.24a.lv</w:t>
        </w:r>
      </w:hyperlink>
      <w:r>
        <w:rPr>
          <w:rStyle w:val="Noklusjumarindkopasfonts"/>
          <w:rFonts w:cs="Calibri" w:ascii="Palatino Linotype" w:hAnsi="Palatino Linotype"/>
          <w:kern w:val="0"/>
          <w:sz w:val="24"/>
          <w:szCs w:val="24"/>
        </w:rPr>
        <w:t xml:space="preserve"> pasūtītu Mēbeļu faktiskās saņemšanas datuma īstenot ar Pārdevēju noslēgtā distances līguma atteikuma tiesību: paziņot par atteikuma tiesības izmantošanu un atgriezt piegādātās Mēbeles, ja tiek ievēroti visi turpmāk minētie noteikumi. Ja Pasūtījums ietver vairākus Mēbeļu veidus, atteikuma tiesību var īstenot daļēji – tikai uz kādu no piegādātajām mēbelēm, paturot citas Mēbeles. Atteikuma tiesību jau samontētu Mēbeļu piegādes gadījumā var īstenot tikai, ja patērētājs ir izpakojis Mēbeles, lai noskaidrotu to rakstura īpašības. Ja prece ir bijusi samontēta vai ir samontēta, atteikuma gadījumā atmaksājamā summa ir līdz 80 % no pirkuma summas. Summa ir atkarīga no preces stāvokļa, ko novērtē Pārdevējs. </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Ja pasūtījums ietver vairākus Mēbeļu iepakojumus (partijas), no kuriem kāds no komplektācijas iepakojumiem vai partijām piegādāta vēlāk, atteikuma tiesības notek 14 dienu laikā no pēdējā iepakojuma piegādes datuma. Ja termiņa beigas iekrīt valstī ar likumu noteiktā brīvdienā, atteikuma tiesība izmantojama nākamajā darba dienā (ieskaitot to).</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 xml:space="preserve"> </w:t>
      </w:r>
      <w:r>
        <w:rPr>
          <w:rStyle w:val="Noklusjumarindkopasfonts"/>
          <w:rFonts w:cs="Calibri" w:ascii="Palatino Linotype" w:hAnsi="Palatino Linotype"/>
          <w:kern w:val="0"/>
          <w:sz w:val="24"/>
          <w:szCs w:val="24"/>
        </w:rPr>
        <w:t xml:space="preserve">Īstenojot atteikuma tiesības, Mēbeļu pircējam, ir pilnībā jāaizpilda kopā ar piegādātajām Mēbelēm piegādātā </w:t>
      </w:r>
      <w:r>
        <w:rPr>
          <w:rStyle w:val="Noklusjumarindkopasfonts"/>
          <w:rFonts w:cs="Calibri" w:ascii="Palatino Linotype" w:hAnsi="Palatino Linotype"/>
          <w:kern w:val="0"/>
          <w:sz w:val="24"/>
          <w:szCs w:val="24"/>
          <w:u w:val="single"/>
        </w:rPr>
        <w:t>atteikuma veidlapa</w:t>
      </w:r>
      <w:r>
        <w:rPr>
          <w:rStyle w:val="Noklusjumarindkopasfonts"/>
          <w:rFonts w:cs="Calibri" w:ascii="Palatino Linotype" w:hAnsi="Palatino Linotype"/>
          <w:kern w:val="0"/>
          <w:sz w:val="24"/>
          <w:szCs w:val="24"/>
        </w:rPr>
        <w:t xml:space="preserve"> (aizpildot norādot visu paredzēto informāciju) un jānosūta tā uz 24A biroju pa pastu vai uz e-pastu: </w:t>
      </w:r>
      <w:hyperlink r:id="rId7" w:tgtFrame="_top">
        <w:r>
          <w:rPr>
            <w:rStyle w:val="Hyperlink"/>
            <w:rFonts w:cs="Calibri" w:ascii="Palatino Linotype" w:hAnsi="Palatino Linotype"/>
            <w:color w:val="0563C1"/>
            <w:kern w:val="0"/>
            <w:sz w:val="24"/>
            <w:szCs w:val="24"/>
            <w:u w:val="single"/>
          </w:rPr>
          <w:t>info@24A.lv</w:t>
        </w:r>
      </w:hyperlink>
      <w:r>
        <w:rPr>
          <w:rStyle w:val="Noklusjumarindkopasfonts"/>
          <w:rFonts w:cs="Calibri" w:ascii="Palatino Linotype" w:hAnsi="Palatino Linotype"/>
          <w:kern w:val="0"/>
          <w:sz w:val="24"/>
          <w:szCs w:val="24"/>
        </w:rPr>
        <w:t xml:space="preserve">. </w:t>
      </w:r>
      <w:r>
        <w:rPr>
          <w:rStyle w:val="Noklusjumarindkopasfonts"/>
          <w:rFonts w:cs="Arial" w:ascii="Arial" w:hAnsi="Arial"/>
          <w:kern w:val="0"/>
        </w:rPr>
        <w:t xml:space="preserve"> </w:t>
      </w:r>
      <w:r>
        <w:rPr>
          <w:rStyle w:val="Noklusjumarindkopasfonts"/>
          <w:rFonts w:cs="Calibri" w:ascii="Palatino Linotype" w:hAnsi="Palatino Linotype"/>
          <w:kern w:val="0"/>
          <w:sz w:val="24"/>
          <w:szCs w:val="24"/>
        </w:rPr>
        <w:t>Ja atteikuma veidlapa tiek nosūtīta elektroniski, 24A.LV nekavējoties pastāvīgā informācijas nesējā (piemēram, pa e-pastu) patērētājam paziņos apstiprinājumu par šāda atteikuma saņemšanu.</w:t>
      </w:r>
      <w:r>
        <w:rPr>
          <w:rStyle w:val="Noklusjumarindkopasfonts"/>
          <w:rFonts w:cs="Arial" w:ascii="Arial" w:hAnsi="Arial"/>
          <w:kern w:val="0"/>
        </w:rPr>
        <w:t xml:space="preserve"> </w:t>
      </w:r>
      <w:r>
        <w:rPr>
          <w:rStyle w:val="Noklusjumarindkopasfonts"/>
          <w:rFonts w:cs="Calibri" w:ascii="Palatino Linotype" w:hAnsi="Palatino Linotype"/>
          <w:kern w:val="0"/>
          <w:sz w:val="24"/>
          <w:szCs w:val="24"/>
        </w:rPr>
        <w:t>Atteikuma veidlapas vai paziņojuma par atteikuma tiesību izmantošanu nosūtīšana termiņā izbeidz iepriekš noslēgto distances līgumu un atbrīvo patērētāju no jebkurām līgumsaistībām, kas izriet no distances līguma ar nosacījumu, ka Pārdevējs saņem no Pircēja atgriezto preci.</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Patērētājs nosūta preci atpakaļ vai nodod to Pārdevēja birojā: Rīgā, Vagonu ielā 19 tā pilnvarotai personai bez nepamatotas kavēšanās, bet ne vēlāk kā 14 dienu laikā pēc tam, kad Patērētājs ir nosūtījis Pārdevējam atteikuma veidlapu vai paziņojumu par atteikuma tiesības izmantošanu. (</w:t>
      </w:r>
      <w:r>
        <w:rPr>
          <w:rStyle w:val="Noklusjumarindkopasfonts"/>
          <w:rFonts w:cs="Calibri" w:ascii="Palatino Linotype" w:hAnsi="Palatino Linotype"/>
          <w:i/>
          <w:iCs/>
          <w:kern w:val="0"/>
          <w:sz w:val="24"/>
          <w:szCs w:val="24"/>
        </w:rPr>
        <w:t>Termiņš ir ievērots, ja Mēbeles ir nosūtītas atpakaļ pirms šajā punktā noteiktā 14 dienu termiņa beigām</w:t>
      </w:r>
      <w:r>
        <w:rPr>
          <w:rStyle w:val="Noklusjumarindkopasfonts"/>
          <w:rFonts w:cs="Calibri" w:ascii="Palatino Linotype" w:hAnsi="Palatino Linotype"/>
          <w:kern w:val="0"/>
          <w:sz w:val="24"/>
          <w:szCs w:val="24"/>
        </w:rPr>
        <w:t>). Pircējam ir pienākums pienācīgi rūpēties par Preču saglabāšanu līdz to atgriešanai Pārdevējam. Pārdevējs neapmaksā Mēbeļu nosūtīšanu atpakaļ un tā jāveic uz Patērētāja rēķina.</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Sūtot atpakaļ mēbeles, tām ir jābūt nodotai nosūtīšanai bez bojājumiem, tām jābūt saliktām oriģinālajā iepakojumā, kādā tās tika piegādātas iegādes brīdī, kā arī uz iepakojuma jābūt visām oriģinālajām etiķetēm, drošības plēvēm un citiem marķējumiem.</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Ne vēlāk, kā 14 dienu laikā no Atteikuma veidlapas saņemšanas Pārdevējs atmaksās Pircējam samaksāto summu par piegādātājām Mēbelēm, tajā skaitā patērētāja samaksātos piegādes izdevumus. Tomēr Pārdevējs ir tiesīgs aizturēt saskaņā ar pirkuma (distances) līgumu patērētāja samaksātās naudas summas atmaksu līdz brīdim, kad Pārdevējs saņēmis preci vai patērētājs ir iesniedzis Pārdevējam apliecinājumu par to, ka prece ir nosūtīta atpakaļ (</w:t>
      </w:r>
      <w:r>
        <w:rPr>
          <w:rStyle w:val="Noklusjumarindkopasfonts"/>
          <w:rFonts w:cs="Calibri" w:ascii="Palatino Linotype" w:hAnsi="Palatino Linotype"/>
          <w:i/>
          <w:iCs/>
          <w:kern w:val="0"/>
          <w:sz w:val="24"/>
          <w:szCs w:val="24"/>
        </w:rPr>
        <w:t>atkarībā no tā, kura darbība ir veikta agrāk</w:t>
      </w:r>
      <w:r>
        <w:rPr>
          <w:rStyle w:val="Noklusjumarindkopasfonts"/>
          <w:rFonts w:cs="Calibri" w:ascii="Palatino Linotype" w:hAnsi="Palatino Linotype"/>
          <w:kern w:val="0"/>
          <w:sz w:val="24"/>
          <w:szCs w:val="24"/>
        </w:rPr>
        <w:t>). Ja Pircējs pasūtīšanas brīdī veica daļēju Mēbeļu apmaksu (avansa maksājums) un prece vēl nav piegādāta, tad atteikuma tiesības īstenošanas gadījumā (kas veikta saskaņā ar šiem noteikumiem), Patērētājam nav jāveic atlikušās daļas maksājums, bet jau samaksātās summas tiks atmaksātas (izņemot individuālu pasūtījumu gadījumā).</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Pārdevējs šo noteikumu naudas summu atmaksā, izmantojot tāda paša veida maksāšanas līdzekli, kādu izmantoja patērētājs, izņemot gadījumus, kad patērētājs skaidri piekritis citam Pārdevēja piedāvātajam bezmaksas maksāšanas līdzeklim.</w:t>
      </w:r>
    </w:p>
    <w:p>
      <w:pPr>
        <w:pStyle w:val="Sarakstarindkopa"/>
        <w:widowControl w:val="false"/>
        <w:numPr>
          <w:ilvl w:val="0"/>
          <w:numId w:val="1"/>
        </w:numPr>
        <w:tabs>
          <w:tab w:val="left" w:pos="266" w:leader="none"/>
        </w:tabs>
        <w:autoSpaceDE w:val="false"/>
        <w:spacing w:lineRule="auto" w:line="276" w:before="159" w:after="0"/>
        <w:ind w:end="-846"/>
        <w:jc w:val="both"/>
        <w:rPr/>
      </w:pPr>
      <w:r>
        <w:rPr>
          <w:rStyle w:val="Noklusjumarindkopasfonts"/>
          <w:rFonts w:cs="Calibri" w:ascii="Palatino Linotype" w:hAnsi="Palatino Linotype"/>
          <w:kern w:val="0"/>
          <w:sz w:val="24"/>
          <w:szCs w:val="24"/>
        </w:rPr>
        <w:t>Ja Patērētājs distances līguma slēgšanas gaitā ir skaidri izteicis vēlēšanos iegādāto Mēbeļu piegādei izmantot tādu nestandarta piegādes veidu, kas nav Pārdevēja piedāvātais standarta piegādes veids, Pārdevējam atteikuma tiesības īstenošanas gadījumā nav pienākuma atmaksāt patērētājam šādus viņa izvēlētos piegādes papildu izdevumus. Preces pieņemšana Pārdevēja noliktavā (iepriekš saskaņojot atvešanas laiku) ir bezmaksas.</w:t>
      </w:r>
    </w:p>
    <w:p>
      <w:pPr>
        <w:pStyle w:val="Parasts"/>
        <w:ind w:end="-846"/>
        <w:jc w:val="center"/>
        <w:rPr>
          <w:b/>
          <w:bCs/>
        </w:rPr>
      </w:pPr>
      <w:r>
        <w:rPr>
          <w:b/>
          <w:bCs/>
        </w:rPr>
      </w:r>
    </w:p>
    <w:sectPr>
      <w:type w:val="nextPage"/>
      <w:pgSz w:w="12240" w:h="15840"/>
      <w:pgMar w:left="1440" w:right="1440" w:gutter="0" w:header="0" w:top="426" w:footer="0" w:bottom="993"/>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Courier New">
    <w:charset w:val="01" w:characterSet="utf-8"/>
    <w:family w:val="modern"/>
    <w:pitch w:val="fixed"/>
  </w:font>
  <w:font w:name="Wingdings">
    <w:charset w:val="02"/>
    <w:family w:val="auto"/>
    <w:pitch w:val="variable"/>
  </w:font>
  <w:font w:name="Times New Roman">
    <w:charset w:val="01" w:characterSet="utf-8"/>
    <w:family w:val="roman"/>
    <w:pitch w:val="variable"/>
  </w:font>
  <w:font w:name="Palatino Linotype">
    <w:charset w:val="01" w:characterSet="utf-8"/>
    <w:family w:val="roman"/>
    <w:pitch w:val="variable"/>
  </w:font>
  <w:font w:name="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2"/>
        <w:szCs w:val="22"/>
        <w:lang w:val="en-US" w:eastAsia="en-US" w:bidi="ar-SA"/>
      </w:rPr>
    </w:rPrDefault>
    <w:pPrDefault>
      <w:pPr>
        <w:widowControl/>
        <w:suppressAutoHyphens w:val="false"/>
        <w:spacing w:lineRule="auto" w:line="250"/>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50" w:before="0" w:after="160"/>
      <w:jc w:val="star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en-US" w:bidi="ar-SA"/>
    </w:rPr>
  </w:style>
  <w:style w:type="character" w:styleId="DefaultParagraphFont">
    <w:name w:val="Default Paragraph Font"/>
    <w:qFormat/>
    <w:rPr/>
  </w:style>
  <w:style w:type="character" w:styleId="Noklusjumarindkopasfonts">
    <w:name w:val="Noklusējuma rindkopas fonts"/>
    <w:qFormat/>
    <w:rPr/>
  </w:style>
  <w:style w:type="character" w:styleId="Hipersaite">
    <w:name w:val="Hipersaite"/>
    <w:basedOn w:val="Noklusjumarindkopasfonts"/>
    <w:qFormat/>
    <w:rPr>
      <w:color w:val="0563C1"/>
      <w:u w:val="single"/>
    </w:rPr>
  </w:style>
  <w:style w:type="character" w:styleId="Neatrisintapieminana">
    <w:name w:val="Neatrisināta pieminēšana"/>
    <w:basedOn w:val="Noklusjumarindkopasfonts"/>
    <w:qFormat/>
    <w:rPr>
      <w:color w:val="605E5C"/>
      <w:shd w:fill="E1DFDD" w:val="clear"/>
    </w:rPr>
  </w:style>
  <w:style w:type="character" w:styleId="Komentraatsauce">
    <w:name w:val="Komentāra atsauce"/>
    <w:basedOn w:val="Noklusjumarindkopasfonts"/>
    <w:qFormat/>
    <w:rPr>
      <w:sz w:val="16"/>
      <w:szCs w:val="16"/>
    </w:rPr>
  </w:style>
  <w:style w:type="character" w:styleId="KomentratekstsRakstz">
    <w:name w:val="Komentāra teksts Rakstz."/>
    <w:basedOn w:val="Noklusjumarindkopasfonts"/>
    <w:qFormat/>
    <w:rPr>
      <w:sz w:val="20"/>
      <w:szCs w:val="20"/>
      <w:lang w:val="lv-LV"/>
    </w:rPr>
  </w:style>
  <w:style w:type="character" w:styleId="KomentratmaRakstz">
    <w:name w:val="Komentāra tēma Rakstz."/>
    <w:basedOn w:val="KomentratekstsRakstz"/>
    <w:qFormat/>
    <w:rPr>
      <w:b/>
      <w:bCs/>
      <w:sz w:val="20"/>
      <w:szCs w:val="20"/>
      <w:lang w:val="lv-LV"/>
    </w:rPr>
  </w:style>
  <w:style w:type="character" w:styleId="WWCharLFO1LVL1">
    <w:name w:val="WW_CharLFO1LVL1"/>
    <w:qFormat/>
    <w:rPr>
      <w:rFonts w:ascii="Symbol" w:hAnsi="Symbol"/>
    </w:rPr>
  </w:style>
  <w:style w:type="character" w:styleId="WWCharLFO1LVL2">
    <w:name w:val="WW_CharLFO1LVL2"/>
    <w:qFormat/>
    <w:rPr>
      <w:rFonts w:ascii="Courier New" w:hAnsi="Courier New" w:cs="Courier New"/>
    </w:rPr>
  </w:style>
  <w:style w:type="character" w:styleId="WWCharLFO1LVL3">
    <w:name w:val="WW_CharLFO1LVL3"/>
    <w:qFormat/>
    <w:rPr>
      <w:rFonts w:ascii="Wingdings" w:hAnsi="Wingdings"/>
    </w:rPr>
  </w:style>
  <w:style w:type="character" w:styleId="WWCharLFO1LVL4">
    <w:name w:val="WW_CharLFO1LVL4"/>
    <w:qFormat/>
    <w:rPr>
      <w:rFonts w:ascii="Symbol" w:hAnsi="Symbol"/>
    </w:rPr>
  </w:style>
  <w:style w:type="character" w:styleId="WWCharLFO1LVL5">
    <w:name w:val="WW_CharLFO1LVL5"/>
    <w:qFormat/>
    <w:rPr>
      <w:rFonts w:ascii="Courier New" w:hAnsi="Courier New" w:cs="Courier New"/>
    </w:rPr>
  </w:style>
  <w:style w:type="character" w:styleId="WWCharLFO1LVL6">
    <w:name w:val="WW_CharLFO1LVL6"/>
    <w:qFormat/>
    <w:rPr>
      <w:rFonts w:ascii="Wingdings" w:hAnsi="Wingdings"/>
    </w:rPr>
  </w:style>
  <w:style w:type="character" w:styleId="WWCharLFO1LVL7">
    <w:name w:val="WW_CharLFO1LVL7"/>
    <w:qFormat/>
    <w:rPr>
      <w:rFonts w:ascii="Symbol" w:hAnsi="Symbol"/>
    </w:rPr>
  </w:style>
  <w:style w:type="character" w:styleId="WWCharLFO1LVL8">
    <w:name w:val="WW_CharLFO1LVL8"/>
    <w:qFormat/>
    <w:rPr>
      <w:rFonts w:ascii="Courier New" w:hAnsi="Courier New" w:cs="Courier New"/>
    </w:rPr>
  </w:style>
  <w:style w:type="character" w:styleId="WWCharLFO1LVL9">
    <w:name w:val="WW_CharLFO1LVL9"/>
    <w:qFormat/>
    <w:rPr>
      <w:rFonts w:ascii="Wingdings" w:hAnsi="Wingdings"/>
    </w:rPr>
  </w:style>
  <w:style w:type="character" w:styleId="Hyperlink">
    <w:name w:val="Hyperlink"/>
    <w:rPr>
      <w:color w:val="000080"/>
      <w:u w:val="single"/>
    </w:rPr>
  </w:style>
  <w:style w:type="paragraph" w:styleId="Normal1">
    <w:name w:val="Normal1"/>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50" w:before="0" w:after="160"/>
      <w:jc w:val="star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en-US" w:bidi="ar-SA"/>
    </w:rPr>
  </w:style>
  <w:style w:type="paragraph" w:styleId="Parasts">
    <w:name w:val="Parasts"/>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50" w:before="0" w:after="160"/>
      <w:jc w:val="star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lv-LV" w:eastAsia="en-US" w:bidi="ar-SA"/>
    </w:rPr>
  </w:style>
  <w:style w:type="paragraph" w:styleId="Paraststmeklis">
    <w:name w:val="Parasts (tīmeklis)"/>
    <w:basedOn w:val="Parasts"/>
    <w:qFormat/>
    <w:pPr>
      <w:suppressAutoHyphens w:val="true"/>
      <w:spacing w:lineRule="auto" w:line="240" w:before="100" w:after="100"/>
    </w:pPr>
    <w:rPr>
      <w:rFonts w:ascii="Times New Roman" w:hAnsi="Times New Roman" w:eastAsia="Times New Roman"/>
      <w:kern w:val="0"/>
      <w:sz w:val="24"/>
      <w:szCs w:val="24"/>
      <w:lang w:val="en-US"/>
    </w:rPr>
  </w:style>
  <w:style w:type="paragraph" w:styleId="Komentrateksts">
    <w:name w:val="Komentāra teksts"/>
    <w:basedOn w:val="Parasts"/>
    <w:qFormat/>
    <w:pPr>
      <w:suppressAutoHyphens w:val="true"/>
      <w:spacing w:lineRule="auto" w:line="240"/>
    </w:pPr>
    <w:rPr>
      <w:sz w:val="20"/>
      <w:szCs w:val="20"/>
    </w:rPr>
  </w:style>
  <w:style w:type="paragraph" w:styleId="Komentratma">
    <w:name w:val="Komentāra tēma"/>
    <w:basedOn w:val="Komentrateksts"/>
    <w:next w:val="Komentrateksts"/>
    <w:qFormat/>
    <w:pPr>
      <w:suppressAutoHyphens w:val="true"/>
    </w:pPr>
    <w:rPr>
      <w:b/>
      <w:bCs/>
    </w:rPr>
  </w:style>
  <w:style w:type="paragraph" w:styleId="Sarakstarindkopa">
    <w:name w:val="Saraksta rindkopa"/>
    <w:basedOn w:val="Parasts"/>
    <w:qFormat/>
    <w:pPr>
      <w:tabs>
        <w:tab w:val="clear" w:pos="720"/>
      </w:tabs>
      <w:suppressAutoHyphens w:val="true"/>
      <w:ind w:start="720"/>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24a.lv/" TargetMode="External"/><Relationship Id="rId3" Type="http://schemas.openxmlformats.org/officeDocument/2006/relationships/hyperlink" Target="mailto:info@24a.lv" TargetMode="External"/><Relationship Id="rId4" Type="http://schemas.openxmlformats.org/officeDocument/2006/relationships/hyperlink" Target="mailto:info@24a.lv" TargetMode="External"/><Relationship Id="rId5" Type="http://schemas.openxmlformats.org/officeDocument/2006/relationships/hyperlink" Target="http://www.24A.lv/" TargetMode="External"/><Relationship Id="rId6" Type="http://schemas.openxmlformats.org/officeDocument/2006/relationships/hyperlink" Target="http://www.24a.lv/" TargetMode="External"/><Relationship Id="rId7" Type="http://schemas.openxmlformats.org/officeDocument/2006/relationships/hyperlink" Target="mailto:info@24A.l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204</TotalTime>
  <Application>LibreOffice/25.2.4.3$MacOSX_AARCH64 LibreOffice_project/33e196637044ead23f5c3226cde09b47731f7e27</Application>
  <AppVersion>15.0000</AppVersion>
  <Pages>3</Pages>
  <Words>865</Words>
  <Characters>4934</Characters>
  <CharactersWithSpaces>5788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2023-04-25T16:30:00Z</dcterms:created>
  <dc:creator>Māris Ruķers</dc:creator>
  <dc:description/>
  <dc:language>en-US</dc:language>
  <cp:lastModifiedBy>Sokolovs Andrejs</cp:lastModifiedBy>
  <dcterms:modified xsi:type="dcterms:W3CDTF">2025-11-26T09:28:00Z</dcterms:modified>
  <cp:revision>10</cp:revision>
  <dc:subject/>
  <dc:title/>
</cp:coreProperties>
</file>